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3A3" w:rsidRDefault="00FC33A3" w:rsidP="002F7E85">
      <w:pPr>
        <w:spacing w:after="0" w:line="240" w:lineRule="auto"/>
        <w:jc w:val="center"/>
        <w:rPr>
          <w:rFonts w:ascii="Times New Roman" w:hAnsi="Times New Roman"/>
          <w:b/>
          <w:sz w:val="24"/>
          <w:szCs w:val="24"/>
        </w:rPr>
      </w:pPr>
      <w:r>
        <w:rPr>
          <w:rFonts w:ascii="Times New Roman" w:hAnsi="Times New Roman"/>
          <w:b/>
          <w:sz w:val="24"/>
          <w:szCs w:val="24"/>
        </w:rPr>
        <w:t>XI Jornada Arquitectura Investiga 2019</w:t>
      </w:r>
      <w:bookmarkStart w:id="0" w:name="_GoBack"/>
      <w:bookmarkEnd w:id="0"/>
    </w:p>
    <w:p w:rsidR="00FC33A3" w:rsidRDefault="00FC33A3" w:rsidP="002F7E85">
      <w:pPr>
        <w:spacing w:after="0" w:line="240" w:lineRule="auto"/>
        <w:jc w:val="center"/>
        <w:rPr>
          <w:rFonts w:ascii="Times New Roman" w:hAnsi="Times New Roman"/>
          <w:b/>
          <w:sz w:val="24"/>
          <w:szCs w:val="24"/>
        </w:rPr>
      </w:pPr>
    </w:p>
    <w:p w:rsidR="00FC33A3" w:rsidRDefault="00FC33A3" w:rsidP="002F7E85">
      <w:pPr>
        <w:spacing w:after="0" w:line="240" w:lineRule="auto"/>
        <w:jc w:val="center"/>
        <w:rPr>
          <w:rFonts w:ascii="Times New Roman" w:hAnsi="Times New Roman"/>
          <w:b/>
          <w:sz w:val="24"/>
          <w:szCs w:val="24"/>
        </w:rPr>
      </w:pPr>
      <w:r>
        <w:rPr>
          <w:rFonts w:ascii="Times New Roman" w:hAnsi="Times New Roman"/>
          <w:b/>
          <w:sz w:val="24"/>
          <w:szCs w:val="24"/>
        </w:rPr>
        <w:t>LA AGROECOLOGÍA COMO ESTRATEGIA URBANÍSTICA PARA OPTIMIZAR EL METABOLISMO DE LAS CIUDADES</w:t>
      </w:r>
    </w:p>
    <w:p w:rsidR="00FC33A3" w:rsidRPr="002F7E85" w:rsidRDefault="00FC33A3" w:rsidP="002F7E85">
      <w:pPr>
        <w:spacing w:after="0" w:line="240" w:lineRule="auto"/>
        <w:jc w:val="center"/>
        <w:rPr>
          <w:rFonts w:ascii="Times New Roman" w:hAnsi="Times New Roman"/>
          <w:b/>
          <w:sz w:val="24"/>
          <w:szCs w:val="24"/>
        </w:rPr>
      </w:pPr>
      <w:r>
        <w:rPr>
          <w:rFonts w:ascii="Times New Roman" w:hAnsi="Times New Roman"/>
          <w:b/>
          <w:sz w:val="24"/>
          <w:szCs w:val="24"/>
        </w:rPr>
        <w:t xml:space="preserve">Bracalenti, L.;Latucca, A.; </w:t>
      </w:r>
      <w:r w:rsidRPr="002F7E85">
        <w:rPr>
          <w:rFonts w:ascii="Times New Roman" w:hAnsi="Times New Roman"/>
          <w:b/>
          <w:sz w:val="24"/>
          <w:szCs w:val="24"/>
        </w:rPr>
        <w:t>Me</w:t>
      </w:r>
      <w:r>
        <w:rPr>
          <w:rFonts w:ascii="Times New Roman" w:hAnsi="Times New Roman"/>
          <w:b/>
          <w:sz w:val="24"/>
          <w:szCs w:val="24"/>
        </w:rPr>
        <w:t>ndíaz, G.; Mosconi, P.; Terrile, R.; Vazquez</w:t>
      </w:r>
    </w:p>
    <w:p w:rsidR="00FC33A3" w:rsidRPr="001A2ED6" w:rsidRDefault="00FC33A3" w:rsidP="002F7E85">
      <w:pPr>
        <w:spacing w:after="0" w:line="240" w:lineRule="auto"/>
        <w:jc w:val="center"/>
        <w:rPr>
          <w:rFonts w:ascii="Times New Roman" w:hAnsi="Times New Roman"/>
          <w:sz w:val="24"/>
          <w:szCs w:val="24"/>
        </w:rPr>
      </w:pPr>
      <w:r w:rsidRPr="001A2ED6">
        <w:rPr>
          <w:rFonts w:ascii="Times New Roman" w:hAnsi="Times New Roman"/>
          <w:sz w:val="24"/>
          <w:szCs w:val="24"/>
        </w:rPr>
        <w:t>Centro de Estudios del Ambiente Humano (CEAH)</w:t>
      </w:r>
    </w:p>
    <w:p w:rsidR="00FC33A3" w:rsidRPr="001A2ED6" w:rsidRDefault="00FC33A3" w:rsidP="002F7E85">
      <w:pPr>
        <w:spacing w:after="0" w:line="240" w:lineRule="auto"/>
        <w:jc w:val="center"/>
        <w:rPr>
          <w:rFonts w:ascii="Times New Roman" w:hAnsi="Times New Roman"/>
          <w:sz w:val="24"/>
          <w:szCs w:val="24"/>
        </w:rPr>
      </w:pPr>
      <w:r w:rsidRPr="001A2ED6">
        <w:rPr>
          <w:rFonts w:ascii="Times New Roman" w:hAnsi="Times New Roman"/>
          <w:sz w:val="24"/>
          <w:szCs w:val="24"/>
        </w:rPr>
        <w:t>Facultad de Arquitectura, Planeamiento y Diseño (FAPyD)</w:t>
      </w:r>
    </w:p>
    <w:p w:rsidR="00FC33A3" w:rsidRPr="001A2ED6" w:rsidRDefault="00FC33A3" w:rsidP="002F7E85">
      <w:pPr>
        <w:spacing w:after="0" w:line="240" w:lineRule="auto"/>
        <w:jc w:val="center"/>
        <w:rPr>
          <w:rFonts w:ascii="Times New Roman" w:hAnsi="Times New Roman"/>
          <w:sz w:val="24"/>
          <w:szCs w:val="24"/>
        </w:rPr>
      </w:pPr>
      <w:r w:rsidRPr="001A2ED6">
        <w:rPr>
          <w:rFonts w:ascii="Times New Roman" w:hAnsi="Times New Roman"/>
          <w:sz w:val="24"/>
          <w:szCs w:val="24"/>
        </w:rPr>
        <w:t>Universidad Nacional de Rosario (UNR)</w:t>
      </w:r>
    </w:p>
    <w:p w:rsidR="00FC33A3" w:rsidRDefault="00FC33A3" w:rsidP="002F7E85">
      <w:pPr>
        <w:spacing w:after="0" w:line="240" w:lineRule="auto"/>
        <w:jc w:val="center"/>
        <w:rPr>
          <w:rStyle w:val="Hyperlink"/>
          <w:rFonts w:ascii="Times New Roman" w:hAnsi="Times New Roman"/>
          <w:sz w:val="24"/>
          <w:szCs w:val="24"/>
        </w:rPr>
      </w:pPr>
      <w:hyperlink r:id="rId4" w:history="1">
        <w:r w:rsidRPr="0060527F">
          <w:rPr>
            <w:rStyle w:val="Hyperlink"/>
            <w:rFonts w:ascii="Times New Roman" w:hAnsi="Times New Roman"/>
            <w:sz w:val="24"/>
            <w:szCs w:val="24"/>
          </w:rPr>
          <w:t>bracalenti@yahoo.com</w:t>
        </w:r>
      </w:hyperlink>
    </w:p>
    <w:p w:rsidR="00FC33A3" w:rsidRPr="00F44E8E" w:rsidRDefault="00FC33A3" w:rsidP="00F44E8E">
      <w:pPr>
        <w:spacing w:after="0" w:line="240" w:lineRule="auto"/>
        <w:jc w:val="both"/>
        <w:rPr>
          <w:rStyle w:val="Hyperlink"/>
          <w:rFonts w:ascii="Times New Roman" w:hAnsi="Times New Roman"/>
          <w:sz w:val="24"/>
          <w:szCs w:val="24"/>
        </w:rPr>
      </w:pPr>
    </w:p>
    <w:p w:rsidR="00FC33A3" w:rsidRDefault="00FC33A3" w:rsidP="00C03377">
      <w:pPr>
        <w:spacing w:after="0" w:line="240" w:lineRule="auto"/>
        <w:jc w:val="both"/>
        <w:rPr>
          <w:rFonts w:ascii="Times New Roman" w:hAnsi="Times New Roman"/>
          <w:sz w:val="24"/>
          <w:szCs w:val="24"/>
        </w:rPr>
      </w:pPr>
      <w:r w:rsidRPr="00C03377">
        <w:rPr>
          <w:rFonts w:ascii="Times New Roman" w:hAnsi="Times New Roman"/>
          <w:sz w:val="24"/>
          <w:szCs w:val="24"/>
        </w:rPr>
        <w:t>El aumento de la pobreza alimentaria urbana mundial, la vulnerabilidad a las consecuencias del cambio climático, el agotamiento de recursos no renovables y la expansión de la agricultura intensiva, son ejemplos de las disfunciones socio-ecológicas determinantes delos</w:t>
      </w:r>
      <w:r>
        <w:rPr>
          <w:rFonts w:ascii="Times New Roman" w:hAnsi="Times New Roman"/>
          <w:sz w:val="24"/>
          <w:szCs w:val="24"/>
        </w:rPr>
        <w:t xml:space="preserve"> flujos de materia</w:t>
      </w:r>
      <w:r w:rsidRPr="00C03377">
        <w:rPr>
          <w:rFonts w:ascii="Times New Roman" w:hAnsi="Times New Roman"/>
          <w:sz w:val="24"/>
          <w:szCs w:val="24"/>
        </w:rPr>
        <w:t>, agua y energía en áreas urbanizadas.</w:t>
      </w:r>
      <w:r>
        <w:rPr>
          <w:rFonts w:ascii="Times New Roman" w:hAnsi="Times New Roman"/>
          <w:sz w:val="24"/>
          <w:szCs w:val="24"/>
        </w:rPr>
        <w:t xml:space="preserve"> Estos flujos </w:t>
      </w:r>
      <w:r w:rsidRPr="00C03377">
        <w:rPr>
          <w:rFonts w:ascii="Times New Roman" w:hAnsi="Times New Roman"/>
          <w:sz w:val="24"/>
          <w:szCs w:val="24"/>
        </w:rPr>
        <w:t>constituyen el soporte de cualquier sistema urbano para mantener su organización</w:t>
      </w:r>
      <w:r>
        <w:rPr>
          <w:rFonts w:ascii="Times New Roman" w:hAnsi="Times New Roman"/>
          <w:sz w:val="24"/>
          <w:szCs w:val="24"/>
        </w:rPr>
        <w:t xml:space="preserve"> y sostener su funcionamiento. En consecuencia, un metabolismo eficiente (tendiente a cerrar los flujos de materia y optimizar los de agua y energía), es necesario para reducir la dependencia y evitar </w:t>
      </w:r>
      <w:r w:rsidRPr="00C03377">
        <w:rPr>
          <w:rFonts w:ascii="Times New Roman" w:hAnsi="Times New Roman"/>
          <w:sz w:val="24"/>
          <w:szCs w:val="24"/>
        </w:rPr>
        <w:t xml:space="preserve">que </w:t>
      </w:r>
      <w:r>
        <w:rPr>
          <w:rFonts w:ascii="Times New Roman" w:hAnsi="Times New Roman"/>
          <w:sz w:val="24"/>
          <w:szCs w:val="24"/>
        </w:rPr>
        <w:t xml:space="preserve">el sistema </w:t>
      </w:r>
      <w:r w:rsidRPr="00C03377">
        <w:rPr>
          <w:rFonts w:ascii="Times New Roman" w:hAnsi="Times New Roman"/>
          <w:sz w:val="24"/>
          <w:szCs w:val="24"/>
        </w:rPr>
        <w:t xml:space="preserve">sea </w:t>
      </w:r>
      <w:r>
        <w:rPr>
          <w:rFonts w:ascii="Times New Roman" w:hAnsi="Times New Roman"/>
          <w:sz w:val="24"/>
          <w:szCs w:val="24"/>
        </w:rPr>
        <w:t>degradado.</w:t>
      </w:r>
    </w:p>
    <w:p w:rsidR="00FC33A3" w:rsidRDefault="00FC33A3" w:rsidP="00C03377">
      <w:pPr>
        <w:spacing w:after="0" w:line="240" w:lineRule="auto"/>
        <w:jc w:val="both"/>
        <w:rPr>
          <w:rFonts w:ascii="Times New Roman" w:hAnsi="Times New Roman"/>
          <w:color w:val="222222"/>
          <w:sz w:val="24"/>
          <w:szCs w:val="24"/>
          <w:shd w:val="clear" w:color="auto" w:fill="FFFFFF"/>
        </w:rPr>
      </w:pPr>
      <w:r w:rsidRPr="00DE346B">
        <w:rPr>
          <w:rFonts w:ascii="Times New Roman" w:hAnsi="Times New Roman"/>
          <w:bCs/>
          <w:color w:val="222222"/>
          <w:sz w:val="24"/>
          <w:szCs w:val="24"/>
          <w:shd w:val="clear" w:color="auto" w:fill="FFFFFF"/>
        </w:rPr>
        <w:t>La agroecología</w:t>
      </w:r>
      <w:r>
        <w:rPr>
          <w:rFonts w:ascii="Times New Roman" w:hAnsi="Times New Roman"/>
          <w:color w:val="222222"/>
          <w:sz w:val="24"/>
          <w:szCs w:val="24"/>
          <w:shd w:val="clear" w:color="auto" w:fill="FFFFFF"/>
        </w:rPr>
        <w:t xml:space="preserve">, basada en </w:t>
      </w:r>
      <w:r w:rsidRPr="00DE346B">
        <w:rPr>
          <w:rFonts w:ascii="Times New Roman" w:hAnsi="Times New Roman"/>
          <w:color w:val="222222"/>
          <w:sz w:val="24"/>
          <w:szCs w:val="24"/>
          <w:shd w:val="clear" w:color="auto" w:fill="FFFFFF"/>
        </w:rPr>
        <w:t>la aplicación de los conceptos y principios de la ecología al diseño, desarrollo y gestión de sistemas agrícolas sostenibles</w:t>
      </w:r>
      <w:r>
        <w:rPr>
          <w:rFonts w:ascii="Times New Roman" w:hAnsi="Times New Roman"/>
          <w:color w:val="222222"/>
          <w:sz w:val="24"/>
          <w:szCs w:val="24"/>
          <w:shd w:val="clear" w:color="auto" w:fill="FFFFFF"/>
        </w:rPr>
        <w:t xml:space="preserve">, ha demostrado su capacidad de integración en entornos urbanos y periurbanos, posibilitando la mejora del entorno, la prestación de servicios ambientales indispensables, entre ellos la producción de alimentos sanos, derecho humano fundamental vulnerado por las actuales condiciones de vida en las ciudades. De hecho, los </w:t>
      </w:r>
      <w:r w:rsidRPr="00C03377">
        <w:rPr>
          <w:rFonts w:ascii="Times New Roman" w:hAnsi="Times New Roman"/>
          <w:sz w:val="24"/>
          <w:szCs w:val="24"/>
        </w:rPr>
        <w:t xml:space="preserve">procesos de urbanización han marginado progresivamente </w:t>
      </w:r>
      <w:r>
        <w:rPr>
          <w:rFonts w:ascii="Times New Roman" w:hAnsi="Times New Roman"/>
          <w:sz w:val="24"/>
          <w:szCs w:val="24"/>
        </w:rPr>
        <w:t xml:space="preserve">las modalidades relativas a este tipo de producción local, al no ser consideradas como aspectos inherentes a la planificación urbana. </w:t>
      </w:r>
      <w:r>
        <w:rPr>
          <w:rFonts w:ascii="Times New Roman" w:hAnsi="Times New Roman"/>
          <w:color w:val="222222"/>
          <w:sz w:val="24"/>
          <w:szCs w:val="24"/>
          <w:shd w:val="clear" w:color="auto" w:fill="FFFFFF"/>
        </w:rPr>
        <w:t>La agroecología brinda la posibilidad de reparar la grieta metabólica proporcionando, simultáneamente, alternativas de solución a otros serios problemas urbanos actuales.</w:t>
      </w:r>
    </w:p>
    <w:p w:rsidR="00FC33A3" w:rsidRDefault="00FC33A3" w:rsidP="00C03377">
      <w:pPr>
        <w:spacing w:after="0" w:line="240" w:lineRule="auto"/>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Se presentan lineamientos generales para la inserción de componentes agroecológicos en distintas áreas de la ciudad y se describe su potencialidad para viabilizar cambios en la dinámica de los flujos de materia, agua y energía tendientes a reducir sus deficiencias metabólicas.  </w:t>
      </w:r>
    </w:p>
    <w:p w:rsidR="00FC33A3" w:rsidRDefault="00FC33A3" w:rsidP="00C03377">
      <w:pPr>
        <w:spacing w:after="0" w:line="240" w:lineRule="auto"/>
        <w:jc w:val="both"/>
        <w:rPr>
          <w:rFonts w:ascii="Times New Roman" w:hAnsi="Times New Roman"/>
          <w:color w:val="222222"/>
          <w:sz w:val="24"/>
          <w:szCs w:val="24"/>
          <w:shd w:val="clear" w:color="auto" w:fill="FFFFFF"/>
        </w:rPr>
      </w:pPr>
    </w:p>
    <w:sectPr w:rsidR="00FC33A3" w:rsidSect="000834A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7E85"/>
    <w:rsid w:val="00046C33"/>
    <w:rsid w:val="000834A1"/>
    <w:rsid w:val="000D0C15"/>
    <w:rsid w:val="001A2ED6"/>
    <w:rsid w:val="001D0483"/>
    <w:rsid w:val="001F6551"/>
    <w:rsid w:val="002941EA"/>
    <w:rsid w:val="002A1298"/>
    <w:rsid w:val="002F7E85"/>
    <w:rsid w:val="00371AEC"/>
    <w:rsid w:val="00380091"/>
    <w:rsid w:val="0040319C"/>
    <w:rsid w:val="00464602"/>
    <w:rsid w:val="00465E90"/>
    <w:rsid w:val="004C1BAE"/>
    <w:rsid w:val="00513825"/>
    <w:rsid w:val="0060527F"/>
    <w:rsid w:val="00647172"/>
    <w:rsid w:val="00671187"/>
    <w:rsid w:val="006E476D"/>
    <w:rsid w:val="00717DBD"/>
    <w:rsid w:val="007D43F0"/>
    <w:rsid w:val="00991D3B"/>
    <w:rsid w:val="00B567BE"/>
    <w:rsid w:val="00B71884"/>
    <w:rsid w:val="00C03377"/>
    <w:rsid w:val="00C10FFC"/>
    <w:rsid w:val="00D14E75"/>
    <w:rsid w:val="00D579DC"/>
    <w:rsid w:val="00D6580C"/>
    <w:rsid w:val="00DB124F"/>
    <w:rsid w:val="00DE346B"/>
    <w:rsid w:val="00E3638B"/>
    <w:rsid w:val="00F44E8E"/>
    <w:rsid w:val="00F46731"/>
    <w:rsid w:val="00FC33A3"/>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A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F7E85"/>
    <w:rPr>
      <w:rFonts w:cs="Times New Roman"/>
      <w:color w:val="0000FF"/>
      <w:u w:val="single"/>
    </w:rPr>
  </w:style>
  <w:style w:type="paragraph" w:customStyle="1" w:styleId="Default">
    <w:name w:val="Default"/>
    <w:uiPriority w:val="99"/>
    <w:rsid w:val="00D14E75"/>
    <w:pPr>
      <w:autoSpaceDE w:val="0"/>
      <w:autoSpaceDN w:val="0"/>
      <w:adjustRightInd w:val="0"/>
    </w:pPr>
    <w:rPr>
      <w:rFonts w:ascii="Arial" w:hAnsi="Arial" w:cs="Arial"/>
      <w:color w:val="000000"/>
      <w:sz w:val="24"/>
      <w:szCs w:val="24"/>
      <w:lang w:val="es-CL"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racalenti@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334</Words>
  <Characters>1838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 Jornada Arquitectura Investiga 2019</dc:title>
  <dc:subject/>
  <dc:creator>Oficina</dc:creator>
  <cp:keywords/>
  <dc:description/>
  <cp:lastModifiedBy>bcicutti</cp:lastModifiedBy>
  <cp:revision>2</cp:revision>
  <dcterms:created xsi:type="dcterms:W3CDTF">2019-07-30T12:45:00Z</dcterms:created>
  <dcterms:modified xsi:type="dcterms:W3CDTF">2019-07-30T12:45:00Z</dcterms:modified>
</cp:coreProperties>
</file>